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000000"/>
          <w:sz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lang w:eastAsia="ru-RU"/>
        </w:rPr>
        <w:t>СТОИМОСТЬ УСЛУГ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lang w:eastAsia="ru-RU"/>
        </w:rPr>
      </w:r>
    </w:p>
    <w:tbl>
      <w:tblPr>
        <w:tblStyle w:val="725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7513"/>
        <w:gridCol w:w="1837"/>
      </w:tblGrid>
      <w:tr>
        <w:trPr>
          <w:trHeight w:val="663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Стоимость (</w:t>
            </w:r>
            <w:r>
              <w:rPr>
                <w:rFonts w:eastAsia="Calibri" w:cs="Arial" w:ascii="Arial" w:hAnsi="Arial"/>
                <w:b/>
                <w:bCs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чел</w:t>
            </w:r>
            <w:r>
              <w:rPr>
                <w:rFonts w:eastAsia="Calibri" w:cs="Arial" w:ascii="Arial" w:hAnsi="Arial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/</w:t>
            </w:r>
            <w:r>
              <w:rPr>
                <w:rFonts w:eastAsia="Calibri" w:cs="Arial" w:ascii="Arial" w:hAnsi="Arial"/>
                <w:b/>
                <w:bCs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час)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Проектирование, обследование, оформление технических заданий (ТЗ): формирование ТЗ «под ключ»; адаптация/исправление ТЗ Заказчика; консультации по вопросам формирования ТЗ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Адаптация, модификация, модернизация, обновление, установка, интеграция, настройка и конфигурирование, внедрение, сопровождение, тестирование, испытания, техническая поддержка, иная деятельность в отношении программного обеспечения для ЭВМ, мобильных приложений и баз данных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Администрирование пользователей: заведение/ администрирование/ отключение УЗ пользователей; настройка прав пользователей в рамках стандартных ролей/наборов прав; обеспечение сетевой доступности пользователей (настройка подключений к программным продуктам, базам данных локальной сети, учётным системам, сетевым папкам); восстановление паролей; разграничение, предоставление/отключение прав доступа (в т.ч. удалённого)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1500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Предоставление удалённого доступа через ИТС к ПО для ЭВМ, базам данных, включая, но не ограничиваясь: системам хранения данных, сетям передачи данных, программным средствам, CRM-системам (Bitrix), офисным пакетам (Microsoft Office, Libre Office); текущее техническое сопровождение баз данных; настройка/запуск регламентных операций; системная настройка баз данных; установка и(или) сопровождение установки плановых и внеплановых обновлений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1500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Осуществление миграций (переносов) данных; настройка, тестирование, исправление ошибок выгрузки/загрузки, синхронизации, обмена данных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Профилактическое обслуживание программных средств, ПО и баз данных; диагностика состояния, поиск конфликтов и неисправностей, чистка временных папок, индексация баз и проверка на ошибки, тестирование; создание резервных копий баз, выполнение плановых и внеплановых восстановлений; устранение неисправностей программных средств, ПО и баз данных, оптимизация работы; подключение, настройка Интернета, WI-FI, устранение проблем в работе; установка, настройка, ОС персональных компьютеров, стандартного и специализированного пользовательского ПО; консультации по вопросам работы ПО, баз данных, программных средств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Проектирование и(или) иные услуги в отношении информационно-телекоммуникационной инфраструктуры – компьютерных систем, объединяющих компьютерное оборудование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8.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Обработка данных и/или предоставление мощностей (ресурсов) для размещения информации заказчика, позволяющих организовать обработку и (или) хранение данных, а также услуги по предоставлению облачной (виртуальной) инфраструктуры и услуг на базе облачной (виртуальной) инфраструктуры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Оценка потребностей, сбор технических требований, подготовка и реализация проектов автоматизации и/или цифровизации процессов и производств, иных процессов цифровой трансформации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Обработка информации (осуществление сбора, записи, накопления, разметки, обобщения, уточнения (изменения, обновления), обезличивания, извлечения, использования, передачи, верификации данных, систематизации информационных массивов, предоставление в распоряжение пользователя результатов обработки информации), осуществление наблюдения (мониторинг) за поступающей информацией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11.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Ремонт и обслуживание программно-аппаратных комплексов, оборудования ИТ-инфраструктуры, серверного оборудования: текущее обслуживание (чистка, диагностика состояния, ремонт, замена комплектующих, дооборудование, оптимизация работы, обновление ПО и другие работы)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2000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12.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Проектирование и(или) иные услуги в отношении сайтов или страниц сайтов в информационно-телекоммуникационной сети (ИТС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2500 руб.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13.</w:t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Ремонт и обслуживание компьютерных терминалов, компьютеров, периферийного компьютерного оборудования, в том числе настольных компьютеров, ноутбуков, магнитных дисководов, флеш-карт и других устройств памяти, оптических дисководов, принтеров, мониторов, клавиатуры, мышек, внутренних и внешних компьютерных модемов, выделенных компьютерных терминалов, компьютерных серверов, сканеров, включая сканеры штрихового кода, читающих устройств смарт-карт, компьютерных проекторов, а также ремонт и обслуживание: компьютерных терминалов, в том числе контрольно-кассовой техники; замена/заправка картриджей для печатающих устройств; текущее обслуживание офисной техники; настройка спецоборудования (включая торговое и онлайн-ККТ); настройка стандартного рабочего места пользователя; консультации и сопровождение пользователей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>от 1500 руб.</w:t>
            </w:r>
          </w:p>
        </w:tc>
      </w:tr>
      <w:tr>
        <w:trPr/>
        <w:tc>
          <w:tcPr>
            <w:tcW w:w="991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12"/>
              <w:jc w:val="center"/>
              <w:rPr>
                <w:rFonts w:ascii="Arial" w:hAnsi="Arial" w:eastAsia="Times New Roman" w:cs="Arial"/>
                <w:i/>
                <w:i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i/>
                <w:color w:val="000000"/>
                <w:kern w:val="0"/>
                <w:sz w:val="22"/>
                <w:szCs w:val="22"/>
                <w:lang w:val="ru-RU" w:eastAsia="ru-RU" w:bidi="ar-SA"/>
              </w:rPr>
              <w:t>Точная стоимость услуг согласовывается Сторонами при подписании договора обслуживания/разработки/ поддержки с учётом специфики и условий заказчика.</w:t>
            </w:r>
          </w:p>
          <w:p>
            <w:pPr>
              <w:pStyle w:val="Normal"/>
              <w:widowControl/>
              <w:spacing w:lineRule="auto" w:line="240" w:before="0" w:after="0"/>
              <w:ind w:firstLine="312"/>
              <w:jc w:val="center"/>
              <w:rPr>
                <w:rFonts w:ascii="Arial" w:hAnsi="Arial" w:eastAsia="Times New Roman" w:cs="Arial"/>
                <w:i/>
                <w:i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i/>
                <w:color w:val="000000"/>
                <w:kern w:val="0"/>
                <w:sz w:val="22"/>
                <w:szCs w:val="22"/>
                <w:lang w:val="ru-RU" w:eastAsia="ru-RU" w:bidi="ar-SA"/>
              </w:rPr>
              <w:t>Стоимость услуг указана с учетом НДС.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Cs/>
          <w:color w:val="000000"/>
          <w:lang w:eastAsia="ru-RU"/>
        </w:rPr>
      </w:pPr>
      <w:r>
        <w:rPr>
          <w:rFonts w:eastAsia="Times New Roman" w:cs="Arial" w:ascii="Arial" w:hAnsi="Arial"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Cs/>
          <w:color w:val="000000"/>
          <w:lang w:eastAsia="ru-RU"/>
        </w:rPr>
      </w:pPr>
      <w:r>
        <w:rPr>
          <w:rFonts w:eastAsia="Times New Roman" w:cs="Arial" w:ascii="Arial" w:hAnsi="Arial"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8"/>
          <w:lang w:eastAsia="ru-RU"/>
        </w:rPr>
      </w:pPr>
      <w:r>
        <w:rPr>
          <w:rFonts w:eastAsia="Times New Roman" w:cs="Arial" w:ascii="Arial" w:hAnsi="Arial"/>
          <w:bCs/>
          <w:color w:val="000000"/>
          <w:lang w:eastAsia="ru-RU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850" w:gutter="0" w:header="0" w:top="567" w:footer="378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2" w:customStyle="1">
    <w:name w:val="Основной текст (2)_"/>
    <w:basedOn w:val="DefaultParagraphFont"/>
    <w:link w:val="21"/>
    <w:qFormat/>
    <w:rPr>
      <w:rFonts w:ascii="Microsoft Sans Serif" w:hAnsi="Microsoft Sans Serif" w:eastAsia="Microsoft Sans Serif" w:cs="Microsoft Sans Serif"/>
      <w:sz w:val="9"/>
      <w:szCs w:val="9"/>
      <w:shd w:fill="FFFFFF" w:val="clear"/>
    </w:rPr>
  </w:style>
  <w:style w:type="character" w:styleId="295pt" w:customStyle="1">
    <w:name w:val="Основной текст (2) + 9;5 pt;Полужирный"/>
    <w:basedOn w:val="2"/>
    <w:qFormat/>
    <w:rPr>
      <w:rFonts w:ascii="Microsoft Sans Serif" w:hAnsi="Microsoft Sans Serif" w:eastAsia="Microsoft Sans Serif" w:cs="Microsoft Sans Serif"/>
      <w:b/>
      <w:bCs/>
      <w:color w:val="000000"/>
      <w:spacing w:val="0"/>
      <w:sz w:val="19"/>
      <w:szCs w:val="19"/>
      <w:shd w:fill="FFFFFF" w:val="clear"/>
      <w:lang w:val="ru-RU" w:eastAsia="ru-RU" w:bidi="ru-RU"/>
    </w:rPr>
  </w:style>
  <w:style w:type="character" w:styleId="29pt" w:customStyle="1">
    <w:name w:val="Основной текст (2) + 9 pt"/>
    <w:basedOn w:val="2"/>
    <w:qFormat/>
    <w:rPr>
      <w:rFonts w:ascii="Microsoft Sans Serif" w:hAnsi="Microsoft Sans Serif" w:eastAsia="Microsoft Sans Serif" w:cs="Microsoft Sans Serif"/>
      <w:color w:val="000000"/>
      <w:spacing w:val="0"/>
      <w:sz w:val="18"/>
      <w:szCs w:val="18"/>
      <w:shd w:fill="FFFFFF" w:val="clear"/>
      <w:lang w:val="ru-RU" w:eastAsia="ru-RU" w:bidi="ru-RU"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Style8" w:customStyle="1">
    <w:name w:val="Нижний колонтитул Знак"/>
    <w:basedOn w:val="DefaultParagraphFont"/>
    <w:uiPriority w:val="99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21" w:customStyle="1">
    <w:name w:val="Основной текст (2)"/>
    <w:basedOn w:val="Normal"/>
    <w:link w:val="2"/>
    <w:qFormat/>
    <w:pPr>
      <w:widowControl w:val="false"/>
      <w:shd w:val="clear" w:color="auto" w:fill="FFFFFF"/>
      <w:spacing w:lineRule="atLeast" w:line="0" w:before="0" w:after="480"/>
    </w:pPr>
    <w:rPr>
      <w:rFonts w:ascii="Microsoft Sans Serif" w:hAnsi="Microsoft Sans Serif" w:eastAsia="Microsoft Sans Serif" w:cs="Microsoft Sans Serif"/>
      <w:sz w:val="9"/>
      <w:szCs w:val="9"/>
    </w:rPr>
  </w:style>
  <w:style w:type="paragraph" w:styleId="Style11">
    <w:name w:val="Колонтитулы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2" w:default="1">
    <w:name w:val="Без списка"/>
    <w:uiPriority w:val="99"/>
    <w:semiHidden/>
    <w:unhideWhenUsed/>
    <w:qFormat/>
  </w:style>
  <w:style w:type="table" w:styleId="49">
    <w:name w:val="Table Grid Light"/>
    <w:basedOn w:val="71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sz w:val="22"/>
      </w:rPr>
      <w:tblPr/>
      <w:tcPr>
        <w:shd w:val="clear" w:color="FFFFFF" w:fill="D9E2F2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sz w:val="22"/>
      </w:rPr>
      <w:tblPr/>
      <w:tcPr>
        <w:shd w:val="clear" w:color="FFFFFF" w:fill="D9E2F2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FC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1" w:themeFillTint="75"/>
      </w:tcPr>
    </w:tblStylePr>
    <w:tblStylePr w:type="band1Vert">
      <w:tblPr/>
      <w:tcPr>
        <w:shd w:val="clear" w:color="FFFFFF" w:fill="AABFE3" w:themeFill="accent1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5" w:themeFillTint="75"/>
      </w:tcPr>
    </w:tblStylePr>
    <w:tblStylePr w:type="band1Vert">
      <w:tblPr/>
      <w:tcPr>
        <w:shd w:val="clear" w:color="FFFFFF" w:fill="B4D2EB" w:themeFill="accent5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CC4E5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4E5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4E5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sz w:val="22"/>
      </w:rPr>
      <w:tblPr/>
      <w:tcPr>
        <w:shd w:val="clear" w:color="FFFFFF" w:fill="537FC8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sz w:val="22"/>
      </w:rPr>
      <w:tblPr/>
      <w:tcPr>
        <w:shd w:val="clear" w:color="FFFFFF" w:fill="537FC8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"/>
    <w:basedOn w:val="71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LibreOffice/25.2.5.2$Linux_X86_64 LibreOffice_project/fb4792146257752f54eab576deb869869b108571</Application>
  <AppVersion>15.0000</AppVersion>
  <Pages>2</Pages>
  <Words>520</Words>
  <Characters>4169</Characters>
  <CharactersWithSpaces>4645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2025-07-22T10:53:00Z</dcterms:created>
  <dc:creator>Игорь Борисович Дьяконов</dc:creator>
  <dc:description/>
  <dc:language>ru-RU</dc:language>
  <cp:lastModifiedBy/>
  <dcterms:modified xsi:type="dcterms:W3CDTF">2025-07-22T16:01:30Z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